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7E6C" w14:textId="77777777" w:rsidR="000232D4" w:rsidRPr="00F263AB" w:rsidRDefault="000232D4" w:rsidP="000232D4">
      <w:pPr>
        <w:jc w:val="center"/>
        <w:rPr>
          <w:b/>
          <w:bCs/>
          <w:sz w:val="24"/>
          <w:szCs w:val="24"/>
        </w:rPr>
      </w:pPr>
      <w:r w:rsidRPr="00F263AB">
        <w:rPr>
          <w:b/>
          <w:bCs/>
          <w:sz w:val="24"/>
          <w:szCs w:val="24"/>
        </w:rPr>
        <w:t xml:space="preserve">A pályaorientáció jogszabályi alapjai 2. </w:t>
      </w:r>
    </w:p>
    <w:p w14:paraId="5E79ACD4" w14:textId="77777777" w:rsidR="000232D4" w:rsidRPr="00F263AB" w:rsidRDefault="000232D4" w:rsidP="000232D4">
      <w:pPr>
        <w:jc w:val="center"/>
        <w:rPr>
          <w:b/>
          <w:bCs/>
          <w:sz w:val="24"/>
          <w:szCs w:val="24"/>
        </w:rPr>
      </w:pPr>
      <w:r w:rsidRPr="00F263AB">
        <w:rPr>
          <w:b/>
          <w:bCs/>
          <w:sz w:val="24"/>
          <w:szCs w:val="24"/>
        </w:rPr>
        <w:t>A rendeleti szabályozás</w:t>
      </w:r>
    </w:p>
    <w:p w14:paraId="7CE838AC" w14:textId="77777777" w:rsidR="000232D4" w:rsidRPr="00F263AB" w:rsidRDefault="000232D4" w:rsidP="000232D4">
      <w:pPr>
        <w:pStyle w:val="Listaszerbekezds"/>
        <w:ind w:left="284"/>
        <w:jc w:val="both"/>
        <w:rPr>
          <w:b/>
          <w:bCs/>
          <w:sz w:val="24"/>
          <w:szCs w:val="24"/>
        </w:rPr>
      </w:pPr>
    </w:p>
    <w:p w14:paraId="73D321C2" w14:textId="77777777" w:rsidR="000232D4" w:rsidRPr="00F263AB" w:rsidRDefault="000232D4" w:rsidP="000232D4">
      <w:pPr>
        <w:jc w:val="both"/>
        <w:rPr>
          <w:sz w:val="24"/>
          <w:szCs w:val="24"/>
        </w:rPr>
      </w:pPr>
      <w:r w:rsidRPr="00F263AB">
        <w:rPr>
          <w:sz w:val="24"/>
          <w:szCs w:val="24"/>
        </w:rPr>
        <w:t>A pályaorientációról nem rendelkezik önálló jogszabály. Ez természetes és logikus, mert az nem elkülönült pedagógiai feladat. Ugyanakkor részfeladatainak ellátásáról a jogalkotó  gondoskodik és közreműködésre is biztosít jogilag megalapozott lehetőséget. Vagy közvetlen rendelkezéssel, vagy a jogszabályok rendelkező és felhatalmazó szakaszaiban biztosít az oktatás irányítására alkalmakat. Ebben a pályaorientációra vonatkozó rendeletekről adunk információt. A tájékoztatás a kormányrendeletekre és a miniszteri rendeletekre terjed ki. Az érintett szervezeteken belüli feladatellátás szabályozása igény esetén megismerhető a szervezetek honlapjain.</w:t>
      </w:r>
    </w:p>
    <w:p w14:paraId="05C2F250" w14:textId="77777777" w:rsidR="000232D4" w:rsidRPr="00F263AB" w:rsidRDefault="000232D4" w:rsidP="000232D4">
      <w:pPr>
        <w:jc w:val="both"/>
        <w:rPr>
          <w:sz w:val="24"/>
          <w:szCs w:val="24"/>
        </w:rPr>
      </w:pPr>
    </w:p>
    <w:p w14:paraId="22D68AA8" w14:textId="77777777" w:rsidR="000232D4" w:rsidRPr="00F263AB" w:rsidRDefault="000232D4" w:rsidP="000232D4">
      <w:pPr>
        <w:jc w:val="both"/>
        <w:rPr>
          <w:b/>
          <w:bCs/>
          <w:sz w:val="24"/>
          <w:szCs w:val="24"/>
        </w:rPr>
      </w:pPr>
      <w:r w:rsidRPr="00F263AB">
        <w:rPr>
          <w:b/>
          <w:bCs/>
          <w:sz w:val="24"/>
          <w:szCs w:val="24"/>
        </w:rPr>
        <w:t>A rendeleti szabályozás elemei</w:t>
      </w:r>
    </w:p>
    <w:p w14:paraId="1B920D39" w14:textId="77777777" w:rsidR="000232D4" w:rsidRPr="00F263AB" w:rsidRDefault="000232D4" w:rsidP="000232D4">
      <w:pPr>
        <w:pStyle w:val="Listaszerbekezds"/>
        <w:numPr>
          <w:ilvl w:val="0"/>
          <w:numId w:val="2"/>
        </w:numPr>
        <w:jc w:val="both"/>
        <w:rPr>
          <w:b/>
          <w:bCs/>
          <w:sz w:val="24"/>
          <w:szCs w:val="24"/>
        </w:rPr>
      </w:pPr>
      <w:r w:rsidRPr="00F263AB">
        <w:rPr>
          <w:b/>
          <w:bCs/>
          <w:sz w:val="24"/>
          <w:szCs w:val="24"/>
        </w:rPr>
        <w:t>Kormányrendeletek</w:t>
      </w:r>
    </w:p>
    <w:p w14:paraId="4D121468" w14:textId="77777777" w:rsidR="000232D4" w:rsidRPr="00F263AB" w:rsidRDefault="000232D4" w:rsidP="000232D4">
      <w:pPr>
        <w:pStyle w:val="NormlWeb"/>
        <w:jc w:val="both"/>
        <w:rPr>
          <w:rFonts w:asciiTheme="majorHAnsi" w:hAnsiTheme="majorHAnsi" w:cstheme="majorHAnsi"/>
        </w:rPr>
      </w:pPr>
      <w:r w:rsidRPr="00F263AB">
        <w:rPr>
          <w:rFonts w:asciiTheme="majorHAnsi" w:hAnsiTheme="majorHAnsi" w:cstheme="majorHAnsi"/>
          <w:b/>
          <w:bCs/>
        </w:rPr>
        <w:t>A Kormány Nemzeti alaptantervben</w:t>
      </w:r>
      <w:r w:rsidRPr="00F263AB">
        <w:rPr>
          <w:rFonts w:asciiTheme="majorHAnsi" w:hAnsiTheme="majorHAnsi" w:cstheme="majorHAnsi"/>
        </w:rPr>
        <w:t xml:space="preserve"> érvényesíti a pályaorientáció törvényi szabályozását.  (A Kormány 5/2020. (I. 31.) Korm. rendelete </w:t>
      </w:r>
      <w:r w:rsidRPr="00F263AB">
        <w:rPr>
          <w:rFonts w:asciiTheme="majorHAnsi" w:hAnsiTheme="majorHAnsi" w:cstheme="majorHAnsi"/>
          <w:b/>
          <w:bCs/>
        </w:rPr>
        <w:t xml:space="preserve">a </w:t>
      </w:r>
      <w:r w:rsidRPr="00F263AB">
        <w:rPr>
          <w:rFonts w:asciiTheme="majorHAnsi" w:hAnsiTheme="majorHAnsi" w:cstheme="majorHAnsi"/>
        </w:rPr>
        <w:t>Nemzeti alaptanterv</w:t>
      </w:r>
      <w:r w:rsidRPr="00F263AB">
        <w:rPr>
          <w:rFonts w:asciiTheme="majorHAnsi" w:hAnsiTheme="majorHAnsi" w:cstheme="majorHAnsi"/>
          <w:b/>
          <w:bCs/>
        </w:rPr>
        <w:t xml:space="preserve"> </w:t>
      </w:r>
      <w:r w:rsidRPr="00F263AB">
        <w:rPr>
          <w:rFonts w:asciiTheme="majorHAnsi" w:hAnsiTheme="majorHAnsi" w:cstheme="majorHAnsi"/>
        </w:rPr>
        <w:t>kiadásáról, bevezetéséről és alkalmazásáról szóló 110/2012. (VI. 4.) Korm. rendelet módosításáról.)</w:t>
      </w:r>
    </w:p>
    <w:p w14:paraId="49A5A54F" w14:textId="77777777" w:rsidR="000232D4" w:rsidRPr="00F263AB" w:rsidRDefault="000232D4" w:rsidP="000232D4">
      <w:pPr>
        <w:pStyle w:val="NormlWeb"/>
        <w:jc w:val="both"/>
        <w:rPr>
          <w:rFonts w:asciiTheme="majorHAnsi" w:hAnsiTheme="majorHAnsi" w:cstheme="majorHAnsi"/>
        </w:rPr>
      </w:pPr>
      <w:r w:rsidRPr="00F263AB">
        <w:rPr>
          <w:rFonts w:asciiTheme="minorHAnsi" w:hAnsiTheme="minorHAnsi" w:cstheme="minorHAnsi"/>
        </w:rPr>
        <w:t xml:space="preserve">A </w:t>
      </w:r>
      <w:r w:rsidRPr="00F263AB">
        <w:rPr>
          <w:rFonts w:asciiTheme="majorHAnsi" w:hAnsiTheme="majorHAnsi" w:cstheme="majorHAnsi"/>
          <w:b/>
          <w:bCs/>
        </w:rPr>
        <w:t xml:space="preserve">Nemzeti alaptanterv  az </w:t>
      </w:r>
      <w:r w:rsidRPr="00F263AB">
        <w:rPr>
          <w:rFonts w:asciiTheme="minorHAnsi" w:hAnsiTheme="minorHAnsi" w:cstheme="minorHAnsi"/>
        </w:rPr>
        <w:t>iskolai munkára vonatkozó tartalmi szabályozás</w:t>
      </w:r>
      <w:r w:rsidRPr="00F263AB">
        <w:rPr>
          <w:rFonts w:asciiTheme="majorHAnsi" w:hAnsiTheme="majorHAnsi" w:cstheme="majorHAnsi"/>
        </w:rPr>
        <w:t>. E</w:t>
      </w:r>
      <w:r w:rsidRPr="00F263AB">
        <w:rPr>
          <w:rFonts w:asciiTheme="majorHAnsi" w:hAnsiTheme="majorHAnsi" w:cstheme="majorHAnsi"/>
          <w:u w:val="single"/>
        </w:rPr>
        <w:t>z a tájékoztató a pályaorientáció szereplőinek feladat- és felelősségmegosztásáról szól,</w:t>
      </w:r>
      <w:r w:rsidRPr="00F263AB">
        <w:rPr>
          <w:rFonts w:asciiTheme="majorHAnsi" w:hAnsiTheme="majorHAnsi" w:cstheme="majorHAnsi"/>
        </w:rPr>
        <w:t xml:space="preserve"> ezért a NAT pályaorientációra vonatkozó tartalmi szabályozását nem részletezzük. Bemutatjuk ugyanakkor a szabályozás kétszintjét, hangsúlyozva, hogy ezek iskolai feladatok, tehát más szereplőt nem érintenek. Végül kiemeljük, hogy a NAT a köznevelés mellett a szakképzés számára is határoz meg pályaorientációs feladatokat. </w:t>
      </w:r>
    </w:p>
    <w:p w14:paraId="72C3A522" w14:textId="77777777" w:rsidR="000232D4" w:rsidRPr="00F263AB" w:rsidRDefault="000232D4" w:rsidP="000232D4">
      <w:pPr>
        <w:pStyle w:val="NormlWeb"/>
        <w:jc w:val="both"/>
        <w:rPr>
          <w:rFonts w:asciiTheme="majorHAnsi" w:hAnsiTheme="majorHAnsi" w:cstheme="majorHAnsi"/>
        </w:rPr>
      </w:pPr>
      <w:r w:rsidRPr="00F263AB">
        <w:rPr>
          <w:rFonts w:asciiTheme="majorHAnsi" w:hAnsiTheme="majorHAnsi" w:cstheme="majorHAnsi"/>
        </w:rPr>
        <w:t xml:space="preserve">A NAT-ról szóló kormányrendelet 2. tartalmi egységében a 3.§-a írja elő a pályaválasztás megalapozását és a pályaorientáció feladatait. Külön szakaszban a felsőtagozat (4), a középfokú oktatás (5) és a szakképzés számára (6). Fontos, hogy az elvárásokat </w:t>
      </w:r>
      <w:r w:rsidRPr="00F263AB">
        <w:rPr>
          <w:rFonts w:asciiTheme="majorHAnsi" w:hAnsiTheme="majorHAnsi" w:cstheme="majorHAnsi"/>
          <w:i/>
          <w:iCs/>
        </w:rPr>
        <w:t xml:space="preserve">„tudástartalmakkal is összefüggésben” </w:t>
      </w:r>
      <w:r w:rsidRPr="00F263AB">
        <w:rPr>
          <w:rFonts w:asciiTheme="majorHAnsi" w:hAnsiTheme="majorHAnsi" w:cstheme="majorHAnsi"/>
        </w:rPr>
        <w:t>követeli meg a jogszabály, már a felső tagozaton is.</w:t>
      </w:r>
    </w:p>
    <w:p w14:paraId="56A2F699" w14:textId="77777777" w:rsidR="000232D4" w:rsidRPr="00F263AB" w:rsidRDefault="000232D4" w:rsidP="000232D4">
      <w:pPr>
        <w:pStyle w:val="Cmsor6"/>
        <w:jc w:val="both"/>
        <w:rPr>
          <w:i/>
          <w:iCs/>
          <w:color w:val="auto"/>
          <w:sz w:val="24"/>
          <w:szCs w:val="24"/>
        </w:rPr>
      </w:pPr>
      <w:r w:rsidRPr="00F263AB">
        <w:rPr>
          <w:i/>
          <w:iCs/>
          <w:color w:val="auto"/>
          <w:sz w:val="24"/>
          <w:szCs w:val="24"/>
        </w:rPr>
        <w:t>A dokumentum a „Fejlesztési területek - nevelési célok” című tartalmi egységében (</w:t>
      </w:r>
      <w:r w:rsidRPr="00F263AB">
        <w:rPr>
          <w:i/>
          <w:iCs/>
          <w:color w:val="auto"/>
        </w:rPr>
        <w:t xml:space="preserve">I.1.1.) </w:t>
      </w:r>
      <w:r w:rsidRPr="00F263AB">
        <w:rPr>
          <w:i/>
          <w:iCs/>
          <w:color w:val="auto"/>
          <w:sz w:val="24"/>
          <w:szCs w:val="24"/>
        </w:rPr>
        <w:t>külön szakasz, tehát követelményegység a „Pályaorientáció”. Ez a szakasz, nem olyan részletes, mint a törvényi szintű szabályozás, csak összefoglalja a pályaorientáció társadalmi és pedagógiai elemeit.</w:t>
      </w:r>
    </w:p>
    <w:p w14:paraId="44DB1F21" w14:textId="77777777" w:rsidR="000232D4" w:rsidRPr="00F263AB" w:rsidRDefault="000232D4" w:rsidP="000232D4">
      <w:pPr>
        <w:jc w:val="both"/>
        <w:rPr>
          <w:rFonts w:asciiTheme="majorHAnsi" w:hAnsiTheme="majorHAnsi" w:cstheme="majorHAnsi"/>
          <w:i/>
          <w:iCs/>
          <w:sz w:val="24"/>
          <w:szCs w:val="24"/>
        </w:rPr>
      </w:pPr>
      <w:r w:rsidRPr="00F263AB">
        <w:rPr>
          <w:rFonts w:cstheme="minorHAnsi"/>
          <w:sz w:val="24"/>
          <w:szCs w:val="24"/>
        </w:rPr>
        <w:t xml:space="preserve">A rendelet mellékletének sajátossága, hogy egyes műveltségterületek tartalmi kidolgozása, általában a természettudományos témákhoz kapcsol pályaorientációs hivatkozást, más területek pedig nem. A </w:t>
      </w:r>
      <w:r w:rsidRPr="00F263AB">
        <w:rPr>
          <w:rFonts w:asciiTheme="majorHAnsi" w:hAnsiTheme="majorHAnsi" w:cstheme="majorHAnsi"/>
          <w:sz w:val="24"/>
          <w:szCs w:val="24"/>
        </w:rPr>
        <w:t xml:space="preserve">3.§ </w:t>
      </w:r>
      <w:r w:rsidRPr="00F263AB">
        <w:rPr>
          <w:rFonts w:asciiTheme="majorHAnsi" w:hAnsiTheme="majorHAnsi" w:cstheme="majorHAnsi"/>
          <w:i/>
          <w:iCs/>
          <w:sz w:val="24"/>
          <w:szCs w:val="24"/>
        </w:rPr>
        <w:t>„tudástartalmakkal is összefüggésben” kitétele ugyanakkor a rendelettel érintett minden szabályozásra érvényes, tehát minden tananyagtartalomnak van pályaorientációs vonzata.</w:t>
      </w:r>
    </w:p>
    <w:p w14:paraId="2545FCC6" w14:textId="77777777" w:rsidR="000232D4" w:rsidRPr="00F263AB" w:rsidRDefault="000232D4" w:rsidP="000232D4">
      <w:pPr>
        <w:jc w:val="both"/>
        <w:rPr>
          <w:rFonts w:asciiTheme="majorHAnsi" w:hAnsiTheme="majorHAnsi" w:cstheme="majorHAnsi"/>
          <w:i/>
          <w:iCs/>
          <w:sz w:val="24"/>
          <w:szCs w:val="24"/>
        </w:rPr>
      </w:pPr>
    </w:p>
    <w:p w14:paraId="08FEEBDC" w14:textId="77777777" w:rsidR="000232D4" w:rsidRPr="00F263AB" w:rsidRDefault="000232D4" w:rsidP="000232D4">
      <w:pPr>
        <w:pStyle w:val="Listaszerbekezds"/>
        <w:numPr>
          <w:ilvl w:val="0"/>
          <w:numId w:val="2"/>
        </w:numPr>
        <w:jc w:val="both"/>
        <w:rPr>
          <w:rFonts w:cstheme="minorHAnsi"/>
          <w:b/>
          <w:bCs/>
          <w:sz w:val="24"/>
          <w:szCs w:val="24"/>
        </w:rPr>
      </w:pPr>
      <w:r w:rsidRPr="00F263AB">
        <w:rPr>
          <w:rFonts w:cstheme="minorHAnsi"/>
          <w:b/>
          <w:bCs/>
          <w:sz w:val="24"/>
          <w:szCs w:val="24"/>
        </w:rPr>
        <w:lastRenderedPageBreak/>
        <w:t>Miniszteri rendeletek</w:t>
      </w:r>
    </w:p>
    <w:p w14:paraId="36AB05AE" w14:textId="77777777" w:rsidR="000232D4" w:rsidRPr="00F263AB" w:rsidRDefault="000232D4" w:rsidP="000232D4">
      <w:pPr>
        <w:spacing w:before="100" w:beforeAutospacing="1" w:after="100" w:afterAutospacing="1"/>
        <w:ind w:firstLine="240"/>
        <w:jc w:val="both"/>
        <w:rPr>
          <w:sz w:val="24"/>
          <w:szCs w:val="24"/>
        </w:rPr>
      </w:pPr>
      <w:r w:rsidRPr="00F263AB">
        <w:rPr>
          <w:b/>
          <w:bCs/>
          <w:sz w:val="24"/>
          <w:szCs w:val="24"/>
        </w:rPr>
        <w:t>2.1. A 48/2012. (XII. 12.) EMMI rendelet</w:t>
      </w:r>
      <w:r w:rsidRPr="00F263AB">
        <w:rPr>
          <w:sz w:val="24"/>
          <w:szCs w:val="24"/>
        </w:rPr>
        <w:t xml:space="preserve"> a pedagógiai-szakmai szolgáltatásokról, a pedagógiai-szakmai szolgáltatásokat ellátó intézmények feladatellátási rendjét határozza meg. Benne a pedagógiai-szakmai szolgáltatásokban való közreműködés feltételeit.</w:t>
      </w:r>
    </w:p>
    <w:p w14:paraId="5A05A4DF" w14:textId="77777777" w:rsidR="000232D4" w:rsidRPr="00F263AB" w:rsidRDefault="000232D4" w:rsidP="000232D4">
      <w:pPr>
        <w:spacing w:before="100" w:beforeAutospacing="1" w:after="100" w:afterAutospacing="1"/>
        <w:ind w:firstLine="240"/>
        <w:jc w:val="both"/>
        <w:rPr>
          <w:sz w:val="24"/>
          <w:szCs w:val="24"/>
        </w:rPr>
      </w:pPr>
      <w:r w:rsidRPr="00F263AB">
        <w:rPr>
          <w:sz w:val="24"/>
          <w:szCs w:val="24"/>
        </w:rPr>
        <w:t xml:space="preserve">A  </w:t>
      </w:r>
      <w:r w:rsidRPr="00F263AB">
        <w:rPr>
          <w:b/>
          <w:bCs/>
          <w:sz w:val="24"/>
          <w:szCs w:val="24"/>
        </w:rPr>
        <w:t>9/B. §</w:t>
      </w:r>
      <w:hyperlink r:id="rId5" w:anchor="lbj26id581d" w:history="1">
        <w:r w:rsidRPr="00F263AB">
          <w:rPr>
            <w:rStyle w:val="Hiperhivatkozs"/>
            <w:b/>
            <w:bCs/>
            <w:color w:val="auto"/>
            <w:sz w:val="24"/>
            <w:szCs w:val="24"/>
            <w:vertAlign w:val="superscript"/>
          </w:rPr>
          <w:t> * </w:t>
        </w:r>
      </w:hyperlink>
      <w:r w:rsidRPr="00F263AB">
        <w:rPr>
          <w:b/>
          <w:bCs/>
          <w:sz w:val="24"/>
          <w:szCs w:val="24"/>
        </w:rPr>
        <w:t xml:space="preserve"> </w:t>
      </w:r>
      <w:r w:rsidRPr="00F263AB">
        <w:rPr>
          <w:sz w:val="24"/>
          <w:szCs w:val="24"/>
        </w:rPr>
        <w:t xml:space="preserve">Az </w:t>
      </w:r>
      <w:proofErr w:type="spellStart"/>
      <w:r w:rsidRPr="00F263AB">
        <w:rPr>
          <w:sz w:val="24"/>
          <w:szCs w:val="24"/>
        </w:rPr>
        <w:t>Nkt</w:t>
      </w:r>
      <w:proofErr w:type="spellEnd"/>
      <w:r w:rsidRPr="00F263AB">
        <w:rPr>
          <w:sz w:val="24"/>
          <w:szCs w:val="24"/>
        </w:rPr>
        <w:t xml:space="preserve">. 19. § (2) bekezdés </w:t>
      </w:r>
      <w:r w:rsidRPr="00F263AB">
        <w:rPr>
          <w:i/>
          <w:iCs/>
          <w:sz w:val="24"/>
          <w:szCs w:val="24"/>
        </w:rPr>
        <w:t xml:space="preserve">g) </w:t>
      </w:r>
      <w:r w:rsidRPr="00F263AB">
        <w:rPr>
          <w:sz w:val="24"/>
          <w:szCs w:val="24"/>
        </w:rPr>
        <w:t xml:space="preserve">pontja szerinti tanulótájékoztató, tanácsadó szolgálat feladatai közé sorolja: </w:t>
      </w:r>
      <w:r w:rsidRPr="00F263AB">
        <w:rPr>
          <w:i/>
          <w:iCs/>
          <w:sz w:val="24"/>
          <w:szCs w:val="24"/>
        </w:rPr>
        <w:t>a) a pályaorientációt, pályaválasztást, továbbtanulást segítő pedagógusok támogatása megnevezésű tevékenységet.</w:t>
      </w:r>
      <w:r w:rsidRPr="00F263AB">
        <w:rPr>
          <w:sz w:val="24"/>
          <w:szCs w:val="24"/>
        </w:rPr>
        <w:t xml:space="preserve"> Ennek rendeltetése a tanulótámogatás mellett az </w:t>
      </w:r>
      <w:proofErr w:type="spellStart"/>
      <w:r w:rsidRPr="00F263AB">
        <w:rPr>
          <w:sz w:val="24"/>
          <w:szCs w:val="24"/>
        </w:rPr>
        <w:t>Nkt</w:t>
      </w:r>
      <w:proofErr w:type="spellEnd"/>
      <w:r w:rsidRPr="00F263AB">
        <w:rPr>
          <w:sz w:val="24"/>
          <w:szCs w:val="24"/>
        </w:rPr>
        <w:t xml:space="preserve">. 62.§ l) szakaszban rögzített pedagógusfeladat támogatása is. </w:t>
      </w:r>
    </w:p>
    <w:p w14:paraId="2592F5DA" w14:textId="77777777" w:rsidR="000232D4" w:rsidRPr="00F263AB" w:rsidRDefault="000232D4" w:rsidP="000232D4">
      <w:pPr>
        <w:pStyle w:val="NormlWeb"/>
        <w:jc w:val="both"/>
        <w:rPr>
          <w:rFonts w:asciiTheme="minorHAnsi" w:hAnsiTheme="minorHAnsi" w:cstheme="minorHAnsi"/>
        </w:rPr>
      </w:pPr>
      <w:r w:rsidRPr="00F263AB">
        <w:rPr>
          <w:rFonts w:asciiTheme="minorHAnsi" w:hAnsiTheme="minorHAnsi" w:cstheme="minorHAnsi"/>
        </w:rPr>
        <w:t>Ez a szakasz a POK pályaorientációs feladatának alapja. A POK szerepe a POM és az OPM bevezetése miatt jelentősen változott, különös tekintettel a távtanácsadás lehetőségeire és elérhetősége érdekében. Az adott jogszabályi felhatalmazás alapján az Oktatási Hivatal határozza meg szervezet részfeladatait.</w:t>
      </w:r>
    </w:p>
    <w:p w14:paraId="11EE62D2" w14:textId="77777777" w:rsidR="000232D4" w:rsidRPr="00F263AB" w:rsidRDefault="000232D4" w:rsidP="000232D4">
      <w:pPr>
        <w:pStyle w:val="Listaszerbekezds"/>
        <w:numPr>
          <w:ilvl w:val="1"/>
          <w:numId w:val="1"/>
        </w:numPr>
        <w:ind w:left="0" w:firstLine="284"/>
        <w:jc w:val="both"/>
        <w:rPr>
          <w:sz w:val="24"/>
          <w:szCs w:val="24"/>
        </w:rPr>
      </w:pPr>
      <w:r w:rsidRPr="00F263AB">
        <w:rPr>
          <w:b/>
          <w:bCs/>
          <w:sz w:val="24"/>
          <w:szCs w:val="24"/>
        </w:rPr>
        <w:t>A 15/2013. (II. 26.) EMMI rendelet</w:t>
      </w:r>
      <w:r w:rsidRPr="00F263AB">
        <w:rPr>
          <w:sz w:val="24"/>
          <w:szCs w:val="24"/>
        </w:rPr>
        <w:t xml:space="preserve"> a pedagógiai szakszolgálati intézmények működéséről rendelkezik. Ennek keretében a továbbtanulási, pályaválasztási tanácsadás feladatait az alábbiak szerint határozza meg:</w:t>
      </w:r>
    </w:p>
    <w:p w14:paraId="0151D5BB" w14:textId="77777777" w:rsidR="000232D4" w:rsidRPr="00F263AB" w:rsidRDefault="000232D4" w:rsidP="000232D4">
      <w:pPr>
        <w:spacing w:before="100" w:beforeAutospacing="1" w:after="100" w:afterAutospacing="1"/>
        <w:ind w:left="360"/>
        <w:jc w:val="both"/>
        <w:rPr>
          <w:i/>
          <w:iCs/>
          <w:sz w:val="24"/>
          <w:szCs w:val="24"/>
        </w:rPr>
      </w:pPr>
      <w:r w:rsidRPr="00F263AB">
        <w:rPr>
          <w:b/>
          <w:bCs/>
          <w:i/>
          <w:iCs/>
          <w:sz w:val="24"/>
          <w:szCs w:val="24"/>
        </w:rPr>
        <w:t xml:space="preserve">26. § </w:t>
      </w:r>
      <w:r w:rsidRPr="00F263AB">
        <w:rPr>
          <w:i/>
          <w:iCs/>
          <w:sz w:val="24"/>
          <w:szCs w:val="24"/>
        </w:rPr>
        <w:t>(1)</w:t>
      </w:r>
      <w:hyperlink r:id="rId6" w:anchor="lbj134id25dd" w:history="1">
        <w:r w:rsidRPr="00F263AB">
          <w:rPr>
            <w:rStyle w:val="Hiperhivatkozs"/>
            <w:i/>
            <w:iCs/>
            <w:color w:val="auto"/>
            <w:sz w:val="24"/>
            <w:szCs w:val="24"/>
            <w:vertAlign w:val="superscript"/>
          </w:rPr>
          <w:t> * </w:t>
        </w:r>
      </w:hyperlink>
      <w:r w:rsidRPr="00F263AB">
        <w:rPr>
          <w:i/>
          <w:iCs/>
          <w:sz w:val="24"/>
          <w:szCs w:val="24"/>
        </w:rPr>
        <w:t xml:space="preserve"> Az </w:t>
      </w:r>
      <w:proofErr w:type="spellStart"/>
      <w:r w:rsidRPr="00F263AB">
        <w:rPr>
          <w:i/>
          <w:iCs/>
          <w:sz w:val="24"/>
          <w:szCs w:val="24"/>
        </w:rPr>
        <w:t>Nkt</w:t>
      </w:r>
      <w:proofErr w:type="spellEnd"/>
      <w:r w:rsidRPr="00F263AB">
        <w:rPr>
          <w:i/>
          <w:iCs/>
          <w:sz w:val="24"/>
          <w:szCs w:val="24"/>
        </w:rPr>
        <w:t>. 18. § (2) bekezdés e) pontja szerinti továbbtanulási, pályaválasztási tanácsadás feladata a tanuló adottságainak, tanulási képességének, irányultságának szakszerű vizsgálata, és ennek eredményeképpen iskolaválasztás ajánlása. A tanácsadás során figyelembe kell venni a tanuló személyes adottságait és érdeklődését.</w:t>
      </w:r>
    </w:p>
    <w:p w14:paraId="3B810654" w14:textId="77777777" w:rsidR="000232D4" w:rsidRPr="00F263AB" w:rsidRDefault="000232D4" w:rsidP="000232D4">
      <w:pPr>
        <w:spacing w:before="100" w:beforeAutospacing="1" w:after="100" w:afterAutospacing="1"/>
        <w:ind w:left="360"/>
        <w:jc w:val="both"/>
        <w:rPr>
          <w:i/>
          <w:iCs/>
          <w:sz w:val="24"/>
          <w:szCs w:val="24"/>
        </w:rPr>
      </w:pPr>
      <w:r w:rsidRPr="00F263AB">
        <w:rPr>
          <w:i/>
          <w:iCs/>
          <w:sz w:val="24"/>
          <w:szCs w:val="24"/>
        </w:rPr>
        <w:t>(2) A továbbtanulási, pályaválasztási tanácsadás keretében nyújtott tájékoztatás elősegíti a tanuló pályaválasztását, figyelembe véve az egyéni tulajdonságokat és a foglalkoztatási lehetőségeket, ennek érdekében kapcsolatot tart a foglalkoztatási pályaválasztási tanácsadóval, valamint a tehetséggondozó hálózattal.</w:t>
      </w:r>
    </w:p>
    <w:p w14:paraId="5FDCA27A" w14:textId="77777777" w:rsidR="000232D4" w:rsidRPr="00F263AB" w:rsidRDefault="000232D4" w:rsidP="000232D4">
      <w:pPr>
        <w:spacing w:before="100" w:beforeAutospacing="1" w:after="100" w:afterAutospacing="1"/>
        <w:ind w:left="360"/>
        <w:jc w:val="both"/>
        <w:rPr>
          <w:i/>
          <w:iCs/>
          <w:sz w:val="24"/>
          <w:szCs w:val="24"/>
        </w:rPr>
      </w:pPr>
      <w:r w:rsidRPr="00F263AB">
        <w:rPr>
          <w:i/>
          <w:iCs/>
          <w:sz w:val="24"/>
          <w:szCs w:val="24"/>
        </w:rPr>
        <w:t>(3) A továbbtanulási, pályaválasztási tanácsadó a javaslatait a tanuló meghallgatása, szükség szerinti vizsgálata és az érintett pedagógusok véleménye alapján alakítja ki.</w:t>
      </w:r>
    </w:p>
    <w:p w14:paraId="2E51FF15" w14:textId="77777777" w:rsidR="000232D4" w:rsidRPr="00F263AB" w:rsidRDefault="000232D4" w:rsidP="000232D4">
      <w:pPr>
        <w:ind w:left="360"/>
        <w:jc w:val="both"/>
        <w:rPr>
          <w:i/>
          <w:iCs/>
          <w:sz w:val="24"/>
          <w:szCs w:val="24"/>
        </w:rPr>
      </w:pPr>
      <w:r w:rsidRPr="00F263AB">
        <w:rPr>
          <w:i/>
          <w:iCs/>
          <w:sz w:val="24"/>
          <w:szCs w:val="24"/>
        </w:rPr>
        <w:t>(4)</w:t>
      </w:r>
      <w:hyperlink r:id="rId7" w:anchor="lbj135id25dd" w:history="1">
        <w:r w:rsidRPr="00F263AB">
          <w:rPr>
            <w:rStyle w:val="Hiperhivatkozs"/>
            <w:i/>
            <w:iCs/>
            <w:color w:val="auto"/>
            <w:sz w:val="24"/>
            <w:szCs w:val="24"/>
            <w:vertAlign w:val="superscript"/>
          </w:rPr>
          <w:t> * </w:t>
        </w:r>
      </w:hyperlink>
      <w:r w:rsidRPr="00F263AB">
        <w:rPr>
          <w:i/>
          <w:iCs/>
          <w:sz w:val="24"/>
          <w:szCs w:val="24"/>
        </w:rPr>
        <w:t xml:space="preserve"> A továbbtanulási, pályaválasztási tanácsadás pedagógiai, pszichológiai, egészségügyi tájékoztatással, kiadványokkal segíti az iskolai pályaorientációs tevékenységet.</w:t>
      </w:r>
    </w:p>
    <w:p w14:paraId="1AB39D86" w14:textId="77777777" w:rsidR="000232D4" w:rsidRPr="00F263AB" w:rsidRDefault="000232D4" w:rsidP="000232D4">
      <w:pPr>
        <w:pStyle w:val="NormlWeb"/>
        <w:jc w:val="both"/>
        <w:rPr>
          <w:rFonts w:asciiTheme="minorHAnsi" w:hAnsiTheme="minorHAnsi" w:cstheme="minorHAnsi"/>
        </w:rPr>
      </w:pPr>
      <w:r w:rsidRPr="00F263AB">
        <w:rPr>
          <w:rFonts w:asciiTheme="minorHAnsi" w:hAnsiTheme="minorHAnsi" w:cstheme="minorHAnsi"/>
        </w:rPr>
        <w:t xml:space="preserve">A jogszabály szövegéből következeik, hogy a tevékenység nem a teljes pályaorientációs folyamatra irányul, hanem pályaválasztási tanácsadás. A pályaorientáció szó csak az iskolai pedagógus munkájának támogatása vonatkozásában fordul elő. (Vö. </w:t>
      </w:r>
      <w:proofErr w:type="spellStart"/>
      <w:r w:rsidRPr="00F263AB">
        <w:rPr>
          <w:rFonts w:asciiTheme="minorHAnsi" w:hAnsiTheme="minorHAnsi" w:cstheme="minorHAnsi"/>
        </w:rPr>
        <w:t>Nkt</w:t>
      </w:r>
      <w:proofErr w:type="spellEnd"/>
      <w:r w:rsidRPr="00F263AB">
        <w:rPr>
          <w:rFonts w:asciiTheme="minorHAnsi" w:hAnsiTheme="minorHAnsi" w:cstheme="minorHAnsi"/>
        </w:rPr>
        <w:t>. 62.§)</w:t>
      </w:r>
    </w:p>
    <w:p w14:paraId="77AEEFCC" w14:textId="77777777" w:rsidR="000232D4" w:rsidRPr="00F263AB" w:rsidRDefault="000232D4" w:rsidP="000232D4">
      <w:pPr>
        <w:jc w:val="both"/>
        <w:rPr>
          <w:rFonts w:eastAsia="Times New Roman" w:cstheme="minorHAnsi"/>
          <w:kern w:val="0"/>
          <w:sz w:val="24"/>
          <w:szCs w:val="24"/>
          <w:lang w:eastAsia="hu-HU"/>
          <w14:ligatures w14:val="none"/>
        </w:rPr>
      </w:pPr>
      <w:r w:rsidRPr="00F263AB">
        <w:rPr>
          <w:rFonts w:cstheme="minorHAnsi"/>
          <w:i/>
          <w:sz w:val="24"/>
          <w:szCs w:val="24"/>
        </w:rPr>
        <w:t>A pályaválasztási tanácsadás a tanuló általános (tanuló adottságainak és képességeinek, irányultságának szakszerű vizsgálata után) felmérésének eredménye alapján történő iskolaválasztást irányozza elő. Ez fontos tevékenység, mely egészen az iskolaválasztás ajánlásáig pályaorientációs részfeladat.  Ugyanakkor óvakodni kell attól, hogy e részfolyamat pályairányításra, elsődlegesen  iskolaválasztásra irányuljon.</w:t>
      </w:r>
    </w:p>
    <w:p w14:paraId="0D326850" w14:textId="77777777" w:rsidR="000232D4" w:rsidRPr="00F263AB" w:rsidRDefault="000232D4" w:rsidP="000232D4">
      <w:pPr>
        <w:pStyle w:val="Listaszerbekezds"/>
        <w:numPr>
          <w:ilvl w:val="1"/>
          <w:numId w:val="1"/>
        </w:numPr>
        <w:rPr>
          <w:b/>
          <w:bCs/>
          <w:sz w:val="24"/>
          <w:szCs w:val="24"/>
        </w:rPr>
      </w:pPr>
      <w:r w:rsidRPr="00F263AB">
        <w:rPr>
          <w:b/>
          <w:bCs/>
          <w:sz w:val="24"/>
          <w:szCs w:val="24"/>
        </w:rPr>
        <w:lastRenderedPageBreak/>
        <w:t>A 22/2022. (VII. 29.) BM rendelet a 2022/2023. tanév rendjéről</w:t>
      </w:r>
    </w:p>
    <w:p w14:paraId="61D87AA2" w14:textId="77777777" w:rsidR="000232D4" w:rsidRPr="00F263AB" w:rsidRDefault="000232D4" w:rsidP="000232D4">
      <w:pPr>
        <w:spacing w:before="100" w:beforeAutospacing="1" w:after="100" w:afterAutospacing="1"/>
        <w:ind w:firstLine="240"/>
        <w:jc w:val="both"/>
        <w:rPr>
          <w:rFonts w:cstheme="minorHAnsi"/>
          <w:sz w:val="24"/>
          <w:szCs w:val="24"/>
        </w:rPr>
      </w:pPr>
      <w:r w:rsidRPr="00F263AB">
        <w:rPr>
          <w:sz w:val="24"/>
          <w:szCs w:val="24"/>
        </w:rPr>
        <w:t xml:space="preserve">A nemzeti köznevelésről szóló 2011. évi CXC. törvény 94. § (1) bekezdés </w:t>
      </w:r>
      <w:r w:rsidRPr="00F263AB">
        <w:rPr>
          <w:i/>
          <w:iCs/>
          <w:sz w:val="24"/>
          <w:szCs w:val="24"/>
        </w:rPr>
        <w:t>a)</w:t>
      </w:r>
      <w:r w:rsidRPr="00F263AB">
        <w:rPr>
          <w:sz w:val="24"/>
          <w:szCs w:val="24"/>
        </w:rPr>
        <w:t xml:space="preserve">, </w:t>
      </w:r>
      <w:r w:rsidRPr="00F263AB">
        <w:rPr>
          <w:i/>
          <w:iCs/>
          <w:sz w:val="24"/>
          <w:szCs w:val="24"/>
        </w:rPr>
        <w:t>b)</w:t>
      </w:r>
      <w:r w:rsidRPr="00F263AB">
        <w:rPr>
          <w:sz w:val="24"/>
          <w:szCs w:val="24"/>
        </w:rPr>
        <w:t xml:space="preserve">, </w:t>
      </w:r>
      <w:r w:rsidRPr="00F263AB">
        <w:rPr>
          <w:i/>
          <w:iCs/>
          <w:sz w:val="24"/>
          <w:szCs w:val="24"/>
        </w:rPr>
        <w:t>f)</w:t>
      </w:r>
      <w:r w:rsidRPr="00F263AB">
        <w:rPr>
          <w:sz w:val="24"/>
          <w:szCs w:val="24"/>
        </w:rPr>
        <w:t xml:space="preserve">, </w:t>
      </w:r>
      <w:r w:rsidRPr="00F263AB">
        <w:rPr>
          <w:i/>
          <w:iCs/>
          <w:sz w:val="24"/>
          <w:szCs w:val="24"/>
        </w:rPr>
        <w:t xml:space="preserve">p) </w:t>
      </w:r>
      <w:r w:rsidRPr="00F263AB">
        <w:rPr>
          <w:sz w:val="24"/>
          <w:szCs w:val="24"/>
        </w:rPr>
        <w:t xml:space="preserve">és </w:t>
      </w:r>
      <w:r w:rsidRPr="00F263AB">
        <w:rPr>
          <w:i/>
          <w:iCs/>
          <w:sz w:val="24"/>
          <w:szCs w:val="24"/>
        </w:rPr>
        <w:t xml:space="preserve">r) </w:t>
      </w:r>
      <w:r w:rsidRPr="00F263AB">
        <w:rPr>
          <w:sz w:val="24"/>
          <w:szCs w:val="24"/>
        </w:rPr>
        <w:t xml:space="preserve">pontjában kapott felhatalmazás alapján, a Kormány tagjainak feladat- és hatásköréről szóló 182/2022. (V. 24.) Korm. rendelet 66. § (1) bekezdés 29. pontja alapján kerül kihirdetésre. Értelemszerűen évenként változó jogszabály. </w:t>
      </w:r>
      <w:r w:rsidRPr="00F263AB">
        <w:rPr>
          <w:rFonts w:cstheme="minorHAnsi"/>
          <w:sz w:val="24"/>
          <w:szCs w:val="24"/>
        </w:rPr>
        <w:t>Pályaorientációs szempontból csak a pályaorientációs napot érinti.</w:t>
      </w:r>
    </w:p>
    <w:p w14:paraId="48E5942F" w14:textId="77777777" w:rsidR="000232D4" w:rsidRPr="00F263AB" w:rsidRDefault="000232D4" w:rsidP="000232D4">
      <w:pPr>
        <w:pStyle w:val="NormlWeb"/>
        <w:contextualSpacing/>
        <w:jc w:val="both"/>
        <w:rPr>
          <w:rFonts w:asciiTheme="minorHAnsi" w:hAnsiTheme="minorHAnsi" w:cstheme="minorHAnsi"/>
        </w:rPr>
      </w:pPr>
      <w:r w:rsidRPr="00F263AB">
        <w:rPr>
          <w:rFonts w:asciiTheme="minorHAnsi" w:hAnsiTheme="minorHAnsi" w:cstheme="minorHAnsi"/>
        </w:rPr>
        <w:t>Fontos! (</w:t>
      </w:r>
      <w:r w:rsidRPr="00F263AB">
        <w:rPr>
          <w:rFonts w:asciiTheme="minorHAnsi" w:hAnsiTheme="minorHAnsi" w:cstheme="minorHAnsi"/>
          <w:b/>
          <w:bCs/>
        </w:rPr>
        <w:t xml:space="preserve">6. §) </w:t>
      </w:r>
      <w:r w:rsidRPr="00F263AB">
        <w:rPr>
          <w:rFonts w:asciiTheme="minorHAnsi" w:hAnsiTheme="minorHAnsi" w:cstheme="minorHAnsi"/>
        </w:rPr>
        <w:t xml:space="preserve">A tanítási évben …egy tanítás nélküli munkanap kizárólag pályaorientációs célra használható fel. </w:t>
      </w:r>
    </w:p>
    <w:p w14:paraId="2A72A82A" w14:textId="77777777" w:rsidR="000232D4" w:rsidRPr="00F263AB" w:rsidRDefault="000232D4" w:rsidP="000232D4">
      <w:pPr>
        <w:pStyle w:val="NormlWeb"/>
        <w:contextualSpacing/>
        <w:jc w:val="both"/>
        <w:rPr>
          <w:rFonts w:asciiTheme="minorHAnsi" w:hAnsiTheme="minorHAnsi" w:cstheme="minorHAnsi"/>
        </w:rPr>
      </w:pPr>
      <w:r w:rsidRPr="00F263AB">
        <w:rPr>
          <w:rFonts w:asciiTheme="minorHAnsi" w:hAnsiTheme="minorHAnsi" w:cstheme="minorHAnsi"/>
        </w:rPr>
        <w:t xml:space="preserve">Mivel a jogszabály sem évfolyamra, sem iskolatípusra nem tartalmaz külön rendelkezést, ez kivétel nélkül vonatkozik minden évfolyamra, iskolatípusra és  érintettre. A pedagógust nem menti fel a munkavégzés alól erre a tanítás nélküli munkanapra sem. </w:t>
      </w:r>
    </w:p>
    <w:p w14:paraId="0BAA2BFA" w14:textId="77777777" w:rsidR="000232D4" w:rsidRPr="00F263AB" w:rsidRDefault="000232D4" w:rsidP="000232D4">
      <w:pPr>
        <w:pStyle w:val="NormlWeb"/>
        <w:contextualSpacing/>
        <w:jc w:val="both"/>
        <w:rPr>
          <w:rFonts w:asciiTheme="minorHAnsi" w:hAnsiTheme="minorHAnsi" w:cstheme="minorHAnsi"/>
        </w:rPr>
      </w:pPr>
      <w:r w:rsidRPr="00F263AB">
        <w:rPr>
          <w:rFonts w:asciiTheme="minorHAnsi" w:hAnsiTheme="minorHAnsi" w:cstheme="minorHAnsi"/>
          <w:i/>
        </w:rPr>
        <w:t>Rendkívül fontos jogszabályi hely, mely törvényi lehetőségként megteremti a pályaorientációs tevékenység integrálását az intézmény általános munkarendjébe, és alapot adhat az intézményi munkaterv pályaorientációs elemeinek összehangolására.</w:t>
      </w:r>
    </w:p>
    <w:p w14:paraId="1A65CBB2" w14:textId="77777777" w:rsidR="000232D4" w:rsidRPr="00F263AB" w:rsidRDefault="000232D4" w:rsidP="000232D4">
      <w:pPr>
        <w:spacing w:before="100" w:beforeAutospacing="1" w:after="100" w:afterAutospacing="1"/>
        <w:ind w:firstLine="240"/>
        <w:rPr>
          <w:sz w:val="24"/>
          <w:szCs w:val="24"/>
        </w:rPr>
      </w:pPr>
    </w:p>
    <w:p w14:paraId="4E443624" w14:textId="77777777" w:rsidR="000232D4" w:rsidRPr="00F263AB" w:rsidRDefault="000232D4" w:rsidP="000232D4">
      <w:pPr>
        <w:jc w:val="both"/>
        <w:rPr>
          <w:rFonts w:cstheme="minorHAnsi"/>
          <w:b/>
          <w:bCs/>
          <w:sz w:val="24"/>
          <w:szCs w:val="24"/>
        </w:rPr>
      </w:pPr>
      <w:r w:rsidRPr="00F263AB">
        <w:rPr>
          <w:rFonts w:cstheme="minorHAnsi"/>
          <w:b/>
          <w:bCs/>
          <w:sz w:val="24"/>
          <w:szCs w:val="24"/>
        </w:rPr>
        <w:t>Összefoglalás helyett:</w:t>
      </w:r>
    </w:p>
    <w:p w14:paraId="29DDF20C" w14:textId="77777777" w:rsidR="000232D4" w:rsidRPr="00F263AB" w:rsidRDefault="000232D4" w:rsidP="000232D4">
      <w:pPr>
        <w:pStyle w:val="Listaszerbekezds"/>
        <w:ind w:left="1440"/>
        <w:jc w:val="both"/>
        <w:rPr>
          <w:rFonts w:cstheme="minorHAnsi"/>
          <w:b/>
          <w:bCs/>
          <w:sz w:val="24"/>
          <w:szCs w:val="24"/>
        </w:rPr>
      </w:pPr>
    </w:p>
    <w:p w14:paraId="429B9093" w14:textId="77777777" w:rsidR="000232D4" w:rsidRPr="00F263AB" w:rsidRDefault="000232D4" w:rsidP="000232D4">
      <w:pPr>
        <w:jc w:val="both"/>
      </w:pPr>
      <w:r w:rsidRPr="00F263AB">
        <w:t xml:space="preserve">A pályaorientáció jogi szabályozása során a jogalkotó az </w:t>
      </w:r>
      <w:r w:rsidRPr="00F263AB">
        <w:rPr>
          <w:b/>
          <w:bCs/>
        </w:rPr>
        <w:t xml:space="preserve">Alaptörvény </w:t>
      </w:r>
      <w:r w:rsidRPr="00F263AB">
        <w:t xml:space="preserve">alapján járt. A </w:t>
      </w:r>
      <w:r w:rsidRPr="00F263AB">
        <w:rPr>
          <w:i/>
          <w:iCs/>
        </w:rPr>
        <w:t xml:space="preserve">XII. cikk </w:t>
      </w:r>
      <w:r w:rsidRPr="00F263AB">
        <w:t xml:space="preserve">(1) szakasza szerint „Mindenkinek joga van a munka és a foglalkozás szabad megválasztásához, valamint a vállalkozáshoz. Képességeinek és lehetőségeinek megfelelő munkavégzéssel mindenki köteles hozzájárulni a közösség gyarapodásához.” </w:t>
      </w:r>
    </w:p>
    <w:p w14:paraId="6506258D" w14:textId="77777777" w:rsidR="000232D4" w:rsidRPr="00F263AB" w:rsidRDefault="000232D4" w:rsidP="000232D4">
      <w:pPr>
        <w:jc w:val="both"/>
      </w:pPr>
      <w:r w:rsidRPr="00F263AB">
        <w:t xml:space="preserve">A pályaorientáció jogi, tanügyigazgatási, szakoktatás-igazgatási és pályapedagógiai alapjai az Alaptörvény mellett a természeti törvényből fakadnak, miszerint minden ember csak a személyiségének megfelelő értelmes tevékenység tanulása és gyakorlása során tud fejlődni. </w:t>
      </w:r>
    </w:p>
    <w:p w14:paraId="37DB7D5F" w14:textId="77777777" w:rsidR="000232D4" w:rsidRPr="00F263AB" w:rsidRDefault="000232D4" w:rsidP="000232D4">
      <w:pPr>
        <w:jc w:val="both"/>
      </w:pPr>
      <w:r w:rsidRPr="00F263AB">
        <w:t>A gazdaság végső hatékonysági tartaléka az ember-pálya megfelelésben van, ez egyre fokozza a szakszerű és folyamatos pályaorientációs munka iránti felelősséget.</w:t>
      </w:r>
    </w:p>
    <w:p w14:paraId="7A65759B" w14:textId="77777777" w:rsidR="000232D4" w:rsidRPr="00F263AB" w:rsidRDefault="000232D4" w:rsidP="000232D4">
      <w:pPr>
        <w:jc w:val="both"/>
      </w:pPr>
    </w:p>
    <w:p w14:paraId="215DC22F" w14:textId="77777777" w:rsidR="000232D4" w:rsidRPr="00F263AB" w:rsidRDefault="000232D4" w:rsidP="000232D4">
      <w:pPr>
        <w:jc w:val="both"/>
      </w:pPr>
      <w:r w:rsidRPr="00F263AB">
        <w:t>Fűrész István</w:t>
      </w:r>
    </w:p>
    <w:p w14:paraId="30077241" w14:textId="77777777" w:rsidR="005C6C1F" w:rsidRPr="00F263AB" w:rsidRDefault="005C6C1F"/>
    <w:sectPr w:rsidR="005C6C1F" w:rsidRPr="00F26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410"/>
    <w:multiLevelType w:val="multilevel"/>
    <w:tmpl w:val="99723C3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4B00FE8"/>
    <w:multiLevelType w:val="multilevel"/>
    <w:tmpl w:val="A24602C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19579412">
    <w:abstractNumId w:val="1"/>
  </w:num>
  <w:num w:numId="2" w16cid:durableId="23497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D4"/>
    <w:rsid w:val="000232D4"/>
    <w:rsid w:val="005C6C1F"/>
    <w:rsid w:val="00F263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BC45"/>
  <w15:chartTrackingRefBased/>
  <w15:docId w15:val="{02085C73-0DE4-4B8F-8CD3-68EA4902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32D4"/>
  </w:style>
  <w:style w:type="paragraph" w:styleId="Cmsor6">
    <w:name w:val="heading 6"/>
    <w:basedOn w:val="Norml"/>
    <w:next w:val="Norml"/>
    <w:link w:val="Cmsor6Char"/>
    <w:uiPriority w:val="9"/>
    <w:semiHidden/>
    <w:unhideWhenUsed/>
    <w:qFormat/>
    <w:rsid w:val="000232D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6Char">
    <w:name w:val="Címsor 6 Char"/>
    <w:basedOn w:val="Bekezdsalapbettpusa"/>
    <w:link w:val="Cmsor6"/>
    <w:uiPriority w:val="9"/>
    <w:semiHidden/>
    <w:rsid w:val="000232D4"/>
    <w:rPr>
      <w:rFonts w:asciiTheme="majorHAnsi" w:eastAsiaTheme="majorEastAsia" w:hAnsiTheme="majorHAnsi" w:cstheme="majorBidi"/>
      <w:color w:val="1F3763" w:themeColor="accent1" w:themeShade="7F"/>
    </w:rPr>
  </w:style>
  <w:style w:type="character" w:styleId="Hiperhivatkozs">
    <w:name w:val="Hyperlink"/>
    <w:basedOn w:val="Bekezdsalapbettpusa"/>
    <w:uiPriority w:val="99"/>
    <w:unhideWhenUsed/>
    <w:rsid w:val="000232D4"/>
    <w:rPr>
      <w:color w:val="0563C1" w:themeColor="hyperlink"/>
      <w:u w:val="single"/>
    </w:rPr>
  </w:style>
  <w:style w:type="paragraph" w:styleId="NormlWeb">
    <w:name w:val="Normal (Web)"/>
    <w:basedOn w:val="Norml"/>
    <w:uiPriority w:val="99"/>
    <w:unhideWhenUsed/>
    <w:rsid w:val="000232D4"/>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Listaszerbekezds">
    <w:name w:val="List Paragraph"/>
    <w:basedOn w:val="Norml"/>
    <w:uiPriority w:val="34"/>
    <w:qFormat/>
    <w:rsid w:val="00023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t.jogtar.hu/jogszabaly?docid=a1300015.e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jogtar.hu/jogszabaly?docid=a1300015.emm" TargetMode="External"/><Relationship Id="rId5" Type="http://schemas.openxmlformats.org/officeDocument/2006/relationships/hyperlink" Target="https://net.jogtar.hu/jogszabaly?docid=a1200048.em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940</Words>
  <Characters>6493</Characters>
  <Application>Microsoft Office Word</Application>
  <DocSecurity>0</DocSecurity>
  <Lines>54</Lines>
  <Paragraphs>14</Paragraphs>
  <ScaleCrop>false</ScaleCrop>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3364</dc:creator>
  <cp:keywords/>
  <dc:description/>
  <cp:lastModifiedBy>3364</cp:lastModifiedBy>
  <cp:revision>2</cp:revision>
  <dcterms:created xsi:type="dcterms:W3CDTF">2023-04-26T06:59:00Z</dcterms:created>
  <dcterms:modified xsi:type="dcterms:W3CDTF">2023-05-04T07:00:00Z</dcterms:modified>
</cp:coreProperties>
</file>